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8D9" w:rsidRDefault="002848D9" w:rsidP="002848D9">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R O M Â N I A</w:t>
      </w:r>
      <w:r>
        <w:rPr>
          <w:rFonts w:ascii="Verdana" w:hAnsi="Verdana"/>
          <w:b/>
          <w:bCs/>
          <w:color w:val="333333"/>
          <w:sz w:val="18"/>
          <w:szCs w:val="18"/>
        </w:rPr>
        <w:br/>
        <w:t>ÎNALTA CURTE DE CASAŢIE ŞI JUSTIŢIE</w:t>
      </w:r>
      <w:r>
        <w:rPr>
          <w:rFonts w:ascii="Verdana" w:hAnsi="Verdana"/>
          <w:b/>
          <w:bCs/>
          <w:color w:val="333333"/>
          <w:sz w:val="18"/>
          <w:szCs w:val="18"/>
        </w:rPr>
        <w:br/>
        <w:t>Secţia de Contencios Administrativ şi Fiscal</w:t>
      </w:r>
    </w:p>
    <w:p w:rsidR="002848D9" w:rsidRDefault="002848D9" w:rsidP="002848D9">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3438/2020</w:t>
      </w:r>
    </w:p>
    <w:p w:rsidR="002848D9" w:rsidRDefault="002848D9" w:rsidP="002848D9">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Şedinţa publică din data de 10 iulie 2020</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Asupra recursului de faţă;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examinarea lucrărilor din dosar, constată următoarele:</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Strong"/>
          <w:rFonts w:ascii="Verdana" w:hAnsi="Verdana"/>
          <w:color w:val="000000"/>
          <w:sz w:val="18"/>
          <w:szCs w:val="18"/>
        </w:rPr>
        <w:t>I. Circumstanţele cauzei</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1. Obiectul cererii de chemare în judecată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cererea de chemare în judecată, înregistrată pe rolul Curţii de Apel Bucureşti – Secţia a VIII-a contencios administrativ şi fiscal, la data de 01 martie 2017, reclamanta “A”, în contradictoriu cu pârâtul  Consiliul Naţional al Audiovizualului, a formulat contestaţie împotriva Deciziei nr. 53/07.02.2017, înregistrată la C.N.A. sub nr. 1494 din 14 februarie 2017, prin care postul de televiziune Realitatea TV a fost sancţionat cu suma de 10.000 lei, solicitând instanţei anularea deciziei contestate și exonerarea de la plata amenzii.</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2. Hotărârea instanţei de fond</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sentinţa civilă nr. 3685 din 13 octombrie 2017, Curtea de Apel Bucureşti – Secţia a VIII-a contencios administrativ şi fiscal a respins cererea formulată de reclamanta “A”., în contradictoriu cu pârâtul Consiliul Naţional al Audiovizualului, ca nefondată.</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3. Recursul exercitat în cauză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sentinţei civile nr. 3685 din 13 octombrie 2017,  pronunţată de Curtea de Apel Bucureşti – Secţia a VIII-a contencios administrativ şi fiscal, a declarat recurs reclamanta “A”. prin administrator special şi administrator judiciar, în temeiul dispoziţiilor art. 488 alin. (1) pct. 8 Cod procedură civilă, solicitând admiterea recursului, casarea sentinţei atacate şi, în rejudecare, admiterea cererii de chemare în judecată, astfel cum a fost formulată.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Recurenta-reclamantă a arătat, în esenţă, că în raport de prevederile art. 6 din Convenţia Europeană a Drepturilor Omului, beneficiază de prezumţia de nevinovăţie şi, astfel, nu era obligată să îşi dovedească nevinovăţia, sarcina administrării probelor revenind pârâtului Consiliul Naţional al Audiovizualului, iar singura probă adusă de acesta a constat în decizia contestată, care face obiectul litigiului.</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al doilea rând, recurenta-reclamantă învederează că în cauză s-au încălcat dispoziţiile art. 10 din Convenţia Europeană a Drepturilor Omului privind dreptul la liberă exprimare şi, deşi în considerentele sentinţei recurate, i se recunosc drepturile consacrate la nivelul CEDO, instanţa de fond face o trimitere abstractă la standardele locale de presă, care contrazice în mod vădit jurisprudenţa CEDO, respectiv cauza Handyside c. Regatului Unit, cauza Lingens c. Austriei sau cauza Dalban c. României.</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Nu în ultimul rând, susţine că nu a încălcat prevederile art. 66 şi art. 70 din Codul audiovizualului, deoarece în emisiune nu a fost adusă o critică întregii comunităţi maghiare, ci o critică punctuală a unora dintre liderii acestora, a căror poziţie a fost indicată în cuprinsul materialelor video prezentate în emisiune.</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4. Apărările formulate în cauză</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lastRenderedPageBreak/>
        <w:t>4.1.</w:t>
      </w:r>
      <w:r>
        <w:rPr>
          <w:rFonts w:ascii="Verdana" w:hAnsi="Verdana"/>
          <w:color w:val="333333"/>
          <w:sz w:val="18"/>
          <w:szCs w:val="18"/>
        </w:rPr>
        <w:t> Prin întâmpinarea înregistrată la dosarul cauzei la data de 06 februarie 2018, intimatul-pârât Consiliul Naţional al Audiovizualului a solicitat respingerea recursului ca nefondat şi menţinerea sentinţei de fond, ca fiind temeinică şi legală.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motivare, intimatul-pârât a reiterat, în esenţă, apărările susţinute cu ocazia soluţionării dosarului în fond.</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Strong"/>
          <w:rFonts w:ascii="Verdana" w:hAnsi="Verdana"/>
          <w:color w:val="000000"/>
          <w:sz w:val="18"/>
          <w:szCs w:val="18"/>
        </w:rPr>
        <w:t>II. Soluţia instanţei de recurs</w:t>
      </w:r>
    </w:p>
    <w:p w:rsidR="002848D9" w:rsidRDefault="002848D9" w:rsidP="002848D9">
      <w:pPr>
        <w:pStyle w:val="NormalWeb"/>
        <w:spacing w:before="225" w:beforeAutospacing="0" w:after="225" w:afterAutospacing="0"/>
        <w:jc w:val="both"/>
        <w:rPr>
          <w:rFonts w:ascii="Verdana" w:hAnsi="Verdana"/>
          <w:color w:val="333333"/>
          <w:sz w:val="18"/>
          <w:szCs w:val="18"/>
        </w:rPr>
      </w:pPr>
      <w:r>
        <w:rPr>
          <w:rStyle w:val="Emphasis"/>
          <w:rFonts w:ascii="Verdana" w:hAnsi="Verdana"/>
          <w:color w:val="333333"/>
          <w:sz w:val="18"/>
          <w:szCs w:val="18"/>
        </w:rPr>
        <w:t>Analizând actele și lucrările dosarului, precum și sentința recurată, în raport de motivul de casare invocat, Înalta Curte constată că recursul declarat de reclamanta “A”. este nefondat, pentru următoarele considerente: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Motivul de recurs prevăzut de art.488 alin. (1) pct.8 Cod procedură civilă, este nefondat, iar în acest sens Înalta Curte are în vedere că potrivit acestui motiv de recurs, casarea unor hotărâri se poate cere când hotărârea a fost dată cu încălcarea sau aplicarea greşită a normelor de drept material.</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Prin intermediul acestui motiv de recurs poate fi invocată numai încălcarea sau aplicarea greşită a legii materiale, nu şi a legii procesuale. Hotărârea a fost dată cu încălcarea sau aplicarea greşită a legii atunci când instanţa a recurs la textele de lege aplicabile speţei dar, fie le-a încălcat, în litera sau spiritul lor, adăugând sau omiţând unele condiţii pe care textele nu le prevăd, fie le-a aplicat greşit.</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cauza de faţă aceste motive nu sunt incidente, soluţia primei instanţe este expresia interpretării şi aplicării corecte a prevederilor legale în raport cu starea de fapt rezultată din probele administrate în procedura  judiciară.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Astfel, prin Decizia nr. 53 din 07 februarie 2017,  pârâtul Consiliul Naţional al audiovizualului a dispus sancţionarea reclamantei “A”. cu amendă în sumă de 10.000 lei  pentru încălcarea prevederilor art. 3 alin. (2) din Legea audiovizualului și a art.66 alin. (1) lit. a) și  art. 70 din Decizia nr.220/2011 privind codul de reglementare a conținutului audiovizual.</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cuprinsul actului atacat pârâtul a reţinut încălcarea  următoarelor dispoziţii legale: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art. 3 din Legea nr. 504/2002 privind codul audiovizualului prezintă o obligație a furnizorului de servicii: toţi furnizorii de servicii media audiovizuale au obligaţia să asigure informarea obiectivă a publicului prin prezentarea corectă a faptelor şi evenimentelor şi să favorizeze libera formare a opiniilor.</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art. 66 alin. (1) lit. a) din Decizia CNA nr.220/2011 privind Codul de reglementare a conţinutului audiovizual stabilește un principiu al echilibrului şi al imparțialității, pentru corecta formare a opiniilor publicului: asigurarea imparţialităţii, echilibrului şi favorizarea liberei formări a opiniilor, prin prezentarea principalelor puncte de vedere aflate în opoziţie, în perioada în care problemele sunt în dezbatere publică.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art. 70 din Decizia nr.220/2011 stabilește obligația de a prezenta și punctul de vedere al minorității etnice: în cadrul programelor de ştiri şi dezbateri care abordează probleme de interes public privind minorităţile etnice, religioase sau sexuale se va prezenta şi un punct de vedere al acestora.</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Înalta Curte reține că obligația de informare corectă a publicului presupune atât îndatorirea de a aduce la cunoștința acestuia informații reale, verificate, adevărate, cât și îndatorirea de a prezenta toate informațiile relevante cu privire la un anumit subiect determinat.</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 alte cuvinte, informarea corectă trebuie să fie nu doar adevărată, ci și exactă, adică să reflecte întreaga realitate, iar nu doar o parte a acesteia, în funcție de interesele persoanei care o prezintă. Numai prin prezentarea completă, iar nu selectivă a informațiilor, publicul este în măsură să înțeleagă corect și complet situația prezentată și să își formeze un punct de vedere propriu cu privire la subiectul prezentat.</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Obligația prezentării tuturor informațiilor relevante aferente unui subiect rezultă și din obligația prezentării tuturor punctelor de vedere aflate în divergență, precum și din necesitatea asigurării unei informări imparțiale, obiective.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Înalta Curte, contrar susţinerilor recurentei-reclamante, apreciază că în cauză au fost încălcate prevederile art. 66 şi art. 70 din Codul audiovizualului. Modalitatea în care s-a derulat emisiunea şi afirmaţiile moderatorului şi ale invitaţilor, nu au fost de natură a favoriza libera formare a opiniilor, nefiind dată posibilitatea formulării vreunui punct de vedere din partea persoanelor vizate de o serie de afirmaţii ostile, negative, dezechilibrate, prezentate în emisiune, respectiv minoritatea maghiară şi o serie de reprezentanţi ai acesteia.</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Înalta Curte are în vedere că în timpul emisiunii au fost exprimate o serie de afirmaţii şi afişate titluri pe ecran, în acest sens fiind relevante şi exemplele reţinute de către instanţa de fond din raportul de monitorizare: „Ungaria atacă iar, după jignirea de la 1 decembrie; Cel care l-a spânzurat pe Avram Iancu recidivează;  Întrebarea serii: ne prinde 2018 cu țara întreagă?; La masă cu Viktor Orban și Laszlo Tokes....un  arhitect al iredentismului la Budapesta și cu unul dintre cei mai negri antiromâni?; Logica pentru care U.D.M.R. care are o politică profund antiromânească; Întrebarea este de ce nu suntem agresivi, de ce nu suntem agresivi? De ce nu ne apărăm nevoile și neamul? De ce nu reacționăm?”.</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Având în vedere că în cadrul emisiunii au fost dezbătute teme şi subiecte de interes public referitoare şi la minorităţi etnice conlocuitoare şi reprezentarea acestora la nivel politic şi national, emisiunea trebuia coordonată de moderatorul emisiunii de aşa natură pentru a se asigura imparţialitatea, echilibrul şi favorizarea liberei formări a opiniilor, prin prezentarea principalelor puncte de vedere aflate în opoziţie, în perioada în care problemele sunt în dezbatere publică, conform art. 66 alin. (1) lit. a) din Decizia C.N.A. nr. 220/2011 privind Codul de reglementare a conţinutului audiovizual, deci inclusiv prin prezentarea unui punct de vedere al unui reprezentant al minorității maghiare în legătură cu subiectele abordate.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Conform art. 66 alin. (1) lit. a), în programele de „ştiri şi dezbateri” informarea în probleme de interes public, de natură politică, economică, socială sau culturală, trebuie să respecte principiile „asigurării imparţialităţii, echilibrului şi favorizarea liberei formări a opiniilor, prin prezentarea principalelor puncte de vedere aflate în opoziţie, în perioada în care problemele sunt în dezbatere publică”.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speţă, moderatorul şi invitaţii au susţinut, în esenţă, aceleaşi puncte de vedere, fără ca punctul de vedere aflat în opoziţie să fie prezentat.</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Nu în ultimul rând, reclamanta nu a arătat care a fost în concret modalitatea în care au fost respectate principiile menţionate de art. 66 alin. 1 lit. a) şi nu a făcut dovada faptului că a asigurat respectarea acestor principii prin prezentarea principalelor puncte de vedere aflate în opoziţie, în perioada în care problemele au fost în dezbatere publică. Deşi recurenta-reclamantă susţine prin cererea de recurs că poziţia liderilor comunităţii maghiare a fost indicată în cuprinsul materialelor video prezentate în emisiune, Înalta Curte constată că emisiunea a reluat fragmente din declarațiile rezumate ale unor lideri politici din Ungaria care au inflamat dezbaterea din platou și au declanșat o reacție verbală agresivă în cadrul televizat.</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 fost invocată în cererea de recurs şi jurisprudența C.E.D.O. în materia libertății de exprimare și s-a susținut că în cauză s-au încălcat dispoziţiile art. 10 din Convenţia Europeană a Drepturilor Omului privind dreptul la liberă exprimare.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Deși recurenta insistă asupra încălcării libertăţii de exprimare prevăzută de art. 10 din Convenţia Europeană a Drepturilor Omului, Înalta Curte reține că în prezenta cauză nu poate fi vorba despre o ingerinţă în dreptul la liberă exprimare, câtă vreme aceasta presupune intervenția autorității înainte de difuzarea unei emisiuni, iar sancțiunea contestată a fost aplicată după difuzare, ca urmare a constatării încălcării prevederilor legale în materie.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Potrivit unei jurisprudențe constante a C.E.D.O., libertatea de exprimare, garantată de art. 10 paragraful 1 din Convenția pentru apărarea drepturilor omului și a libertăților fundamentale, constituie unul din fundamentele esențiale ale unei societăți democratice și una din cerințele prioritare ale progresului </w:t>
      </w:r>
      <w:r>
        <w:rPr>
          <w:rFonts w:ascii="Verdana" w:hAnsi="Verdana"/>
          <w:color w:val="333333"/>
          <w:sz w:val="18"/>
          <w:szCs w:val="18"/>
        </w:rPr>
        <w:lastRenderedPageBreak/>
        <w:t>societății. Conform art. 10  paragraful (2) din Convenție, exercitarea libertăților cuprinse în dreptul la libertatea de exprimare comportă îndatoriri și responsabilități și poate fi supusă unor formalități, condiții, restrângeri sau sancțiuni prevăzute de lege, care constituie măsuri necesare într-o societate democratică. Așadar, dreptul la libera exprimare nu are un caracter nelimitat, ci este îngrădit de cerința respectării drepturilor celorlalți.</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Curtea Europeană a Drepturilor Omului a statuat, de asemenea, cu valoare de principiu, că oricine, inclusiv un jurnalist, care exercită libertatea sa de exprimare, își asumă „îndatoriri și responsabilități” a căror întindere depinde de situația concretă în discuție. Prin urmare, Curtea a decis că numai prin respectarea "îndatoririlor și responsabilităților" ce-i revin, presa își îndeplinește funcția sa esențială într-o societate democratică, fără a depăși anumite limite, având misiunea de a comunica numai informații de interes public, în sensul dat acestei noțiuni în jurisprudența Curții (Hotărârea Tammer c. Estoniei, 6 februarie 2001).</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Se susține în cererea de recurs că, potrivit jurisprudenței C.E.D.O., libertatea de exprimare conferită mass-media presupune existenţa unor limite mai largi în ceea ce priveşte întinderea acesteia, jurnaliştii bucurându-se, aşadar, în exerciţiul acestei libertăţi, de o doză de exagerare ori chiar de provocare cu privire la judecăţile de valoare pe care le emit, fără a fi ţinuţi să le demonstreze realitatea.</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 privire la această susținere, Înalta Curte reiterează faptul că sancțiunea nu a fost aplicată pentru informațiile oferite de prezentator/realizator, ci, deoarece în emisiunea în cauză, deşi au fost dezbătute teme şi subiecte de interes public referitoare şi la minorităţile etnice conlocuitoare şi reprezentarea acestora la nivel politic, naţional, radiodifuzorul nu a asigurat respectarea dispoziţiilor citate, care obligă ca în astfel de programe să fie prezentat şi un punct de vedere al acestora, în scopul unei informări obiective a publicului, fiind astfel încălcate dispoziţiile art. 70 din Codul audiovizualului.</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Este, aşadar, evident că într-o societate democratică apare ca o necesitate de prim rang ocrotirea și încurajarea libertății de exprimare de care se bucură presa, în virtutea rolului ei de supraveghere activă a vieții cetății, de semnalare a oricărui abuz ori derapaj de la valorile democratice. Însă jurnaliștii trebuie, în exercitarea cu bună credință a profesiunii lor, și în deplin acord cu cele stipulate în art. 10, să respecte și celelalte valori protejate de Convenție, precum și îndatoririle și responsabilitățile ce le revin, la care s-a făcut referire în considerentele anterior menţionate.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Înalta Curte nu poate primi nici critica recurentei-reclamante prin care se susţine că nu au fost administrate probe de către intimatul-pârât în dovedirea celor reţinute în cuprinsul deciziei contestate în cauză şi, implicit, la aplicarea sancţiunii. Înalta Curte reţine că, în cauză, au fost respectate dispoziţiile art. 13 din Legea nr. 554/2004, în sensul că a fost depusă de către autoritatea publică emitentă, documentaţia care a stat la baza actului contestat, respectiv raportul de monitorizare a emisiunii “Y” din data de 06 decembrie 2016 . Având în vedere că recurenta-reclamantă nu a contestat raportul de monitorizare, nici la instanţa de fond şi nici prin cererea de recurs, iar instanţa de fond, în virtutea dispoziţiilor art. 255 şi art. 258 Cod procedură civilă, a încuviinţat pentru ambele părţi proba cu înscrisuri, Înalta Curte apreciază că raportul de monitorizare probează temeinicia constatărilor reţinute ca încălcări în sarcina recurentei-reclamante.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argumentele expuse, constatând că sentința este legală, nefiind incident motivul de casare prevăzut de art. 488 alin. (1) pct. 8 Cod procedură civilă, Înalta Curte, în temeiul art. 496 alin.(1) din Codul de procedură civilă, va respinge recursul ca nefondat.</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2848D9" w:rsidRDefault="002848D9" w:rsidP="002848D9">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PENTRU ACESTE MOTIVE,</w:t>
      </w:r>
    </w:p>
    <w:p w:rsidR="002848D9" w:rsidRDefault="002848D9" w:rsidP="002848D9">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ÎN NUMELE LEGII</w:t>
      </w:r>
    </w:p>
    <w:p w:rsidR="002848D9" w:rsidRDefault="002848D9" w:rsidP="002848D9">
      <w:pPr>
        <w:pStyle w:val="NormalWeb"/>
        <w:spacing w:before="225" w:beforeAutospacing="0" w:after="225" w:afterAutospacing="0"/>
        <w:jc w:val="center"/>
        <w:rPr>
          <w:rFonts w:ascii="Verdana" w:hAnsi="Verdana"/>
          <w:color w:val="333333"/>
          <w:sz w:val="18"/>
          <w:szCs w:val="18"/>
        </w:rPr>
      </w:pPr>
      <w:r>
        <w:rPr>
          <w:rStyle w:val="Strong"/>
          <w:rFonts w:ascii="Verdana" w:hAnsi="Verdana"/>
          <w:color w:val="000000"/>
          <w:sz w:val="18"/>
          <w:szCs w:val="18"/>
        </w:rPr>
        <w:t>D E C I D E</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Respinge recursul declarat de reclamanta “A”. prin administrator special şi administrator judiciar împotriva Sentinţei nr. 3685 din 13 octombrie 2017 a Curţii de Apel Bucureşti - Secţia a VIII-a contencios administrativ şi fiscal, ca nefondat.</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Definitivă.</w:t>
      </w:r>
    </w:p>
    <w:p w:rsidR="002848D9" w:rsidRDefault="002848D9" w:rsidP="002848D9">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Pronunţată în şedinţă publică, astăzi 10 iulie 2020.</w:t>
      </w:r>
    </w:p>
    <w:p w:rsidR="00D620AB" w:rsidRDefault="00D620AB">
      <w:bookmarkStart w:id="0" w:name="_GoBack"/>
      <w:bookmarkEnd w:id="0"/>
    </w:p>
    <w:sectPr w:rsidR="00D62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13B"/>
    <w:rsid w:val="002848D9"/>
    <w:rsid w:val="00996AF8"/>
    <w:rsid w:val="00CB6548"/>
    <w:rsid w:val="00D620AB"/>
    <w:rsid w:val="00E071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B9762A-3AD5-42A0-9286-8011F5AEA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848D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848D9"/>
    <w:rPr>
      <w:b/>
      <w:bCs/>
    </w:rPr>
  </w:style>
  <w:style w:type="character" w:styleId="Emphasis">
    <w:name w:val="Emphasis"/>
    <w:basedOn w:val="DefaultParagraphFont"/>
    <w:uiPriority w:val="20"/>
    <w:qFormat/>
    <w:rsid w:val="002848D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153707">
      <w:bodyDiv w:val="1"/>
      <w:marLeft w:val="0"/>
      <w:marRight w:val="0"/>
      <w:marTop w:val="0"/>
      <w:marBottom w:val="0"/>
      <w:divBdr>
        <w:top w:val="none" w:sz="0" w:space="0" w:color="auto"/>
        <w:left w:val="none" w:sz="0" w:space="0" w:color="auto"/>
        <w:bottom w:val="none" w:sz="0" w:space="0" w:color="auto"/>
        <w:right w:val="none" w:sz="0" w:space="0" w:color="auto"/>
      </w:divBdr>
      <w:divsChild>
        <w:div w:id="1577477109">
          <w:marLeft w:val="0"/>
          <w:marRight w:val="0"/>
          <w:marTop w:val="0"/>
          <w:marBottom w:val="0"/>
          <w:divBdr>
            <w:top w:val="none" w:sz="0" w:space="0" w:color="auto"/>
            <w:left w:val="none" w:sz="0" w:space="0" w:color="auto"/>
            <w:bottom w:val="none" w:sz="0" w:space="0" w:color="auto"/>
            <w:right w:val="none" w:sz="0" w:space="0" w:color="auto"/>
          </w:divBdr>
        </w:div>
        <w:div w:id="1117025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2328</Words>
  <Characters>13275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Popan Tabita Monica</dc:creator>
  <cp:keywords/>
  <dc:description/>
  <cp:lastModifiedBy>Popan Tabita Monica</cp:lastModifiedBy>
  <cp:revision>2</cp:revision>
  <dcterms:created xsi:type="dcterms:W3CDTF">2021-02-05T10:14:00Z</dcterms:created>
  <dcterms:modified xsi:type="dcterms:W3CDTF">2021-02-05T10:14:00Z</dcterms:modified>
</cp:coreProperties>
</file>